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9CC" w:rsidRDefault="003149CC" w:rsidP="003149CC">
      <w:pPr>
        <w:spacing w:line="480" w:lineRule="auto"/>
        <w:jc w:val="center"/>
        <w:rPr>
          <w:rFonts w:ascii="Times New Roman" w:hAnsi="Times New Roman" w:cs="Times New Roman"/>
          <w:sz w:val="24"/>
          <w:szCs w:val="24"/>
        </w:rPr>
      </w:pPr>
    </w:p>
    <w:p w:rsidR="003149CC" w:rsidRDefault="003149CC" w:rsidP="003149CC">
      <w:pPr>
        <w:spacing w:line="480" w:lineRule="auto"/>
        <w:jc w:val="center"/>
        <w:rPr>
          <w:rFonts w:ascii="Times New Roman" w:hAnsi="Times New Roman" w:cs="Times New Roman"/>
          <w:sz w:val="24"/>
          <w:szCs w:val="24"/>
        </w:rPr>
      </w:pPr>
    </w:p>
    <w:p w:rsidR="003149CC" w:rsidRDefault="003149CC" w:rsidP="003149CC">
      <w:pPr>
        <w:spacing w:line="480" w:lineRule="auto"/>
        <w:jc w:val="center"/>
        <w:rPr>
          <w:rFonts w:ascii="Times New Roman" w:hAnsi="Times New Roman" w:cs="Times New Roman"/>
          <w:sz w:val="24"/>
          <w:szCs w:val="24"/>
        </w:rPr>
      </w:pPr>
    </w:p>
    <w:p w:rsidR="003149CC" w:rsidRDefault="003149CC" w:rsidP="003149CC">
      <w:pPr>
        <w:spacing w:line="480" w:lineRule="auto"/>
        <w:jc w:val="center"/>
        <w:rPr>
          <w:rFonts w:ascii="Times New Roman" w:hAnsi="Times New Roman" w:cs="Times New Roman"/>
          <w:sz w:val="24"/>
          <w:szCs w:val="24"/>
        </w:rPr>
      </w:pPr>
    </w:p>
    <w:p w:rsidR="003149CC" w:rsidRDefault="003149CC" w:rsidP="003149CC">
      <w:pPr>
        <w:spacing w:line="480" w:lineRule="auto"/>
        <w:jc w:val="center"/>
        <w:rPr>
          <w:rFonts w:ascii="Times New Roman" w:hAnsi="Times New Roman" w:cs="Times New Roman"/>
          <w:sz w:val="24"/>
          <w:szCs w:val="24"/>
        </w:rPr>
      </w:pPr>
    </w:p>
    <w:p w:rsidR="003149CC" w:rsidRDefault="003149CC" w:rsidP="003149CC">
      <w:pPr>
        <w:spacing w:line="480" w:lineRule="auto"/>
        <w:jc w:val="center"/>
        <w:rPr>
          <w:rFonts w:ascii="Times New Roman" w:hAnsi="Times New Roman" w:cs="Times New Roman"/>
          <w:sz w:val="24"/>
          <w:szCs w:val="24"/>
        </w:rPr>
      </w:pPr>
    </w:p>
    <w:p w:rsidR="003149CC" w:rsidRDefault="003149CC" w:rsidP="003149CC">
      <w:pPr>
        <w:spacing w:line="480" w:lineRule="auto"/>
        <w:jc w:val="center"/>
        <w:rPr>
          <w:rFonts w:ascii="Times New Roman" w:hAnsi="Times New Roman" w:cs="Times New Roman"/>
          <w:sz w:val="24"/>
          <w:szCs w:val="24"/>
        </w:rPr>
      </w:pPr>
    </w:p>
    <w:p w:rsidR="003149CC" w:rsidRDefault="003149CC" w:rsidP="003149CC">
      <w:pPr>
        <w:spacing w:line="480" w:lineRule="auto"/>
        <w:jc w:val="center"/>
        <w:rPr>
          <w:rFonts w:ascii="Times New Roman" w:hAnsi="Times New Roman" w:cs="Times New Roman"/>
          <w:sz w:val="24"/>
          <w:szCs w:val="24"/>
        </w:rPr>
      </w:pPr>
    </w:p>
    <w:p w:rsidR="003149CC" w:rsidRDefault="003149CC" w:rsidP="003149CC">
      <w:pPr>
        <w:spacing w:line="480" w:lineRule="auto"/>
        <w:jc w:val="center"/>
        <w:rPr>
          <w:rFonts w:ascii="Times New Roman" w:hAnsi="Times New Roman" w:cs="Times New Roman"/>
          <w:sz w:val="24"/>
          <w:szCs w:val="24"/>
        </w:rPr>
      </w:pPr>
      <w:r w:rsidRPr="003149CC">
        <w:rPr>
          <w:rFonts w:ascii="Times New Roman" w:hAnsi="Times New Roman" w:cs="Times New Roman"/>
          <w:sz w:val="24"/>
          <w:szCs w:val="24"/>
        </w:rPr>
        <w:t>Corporate Compliance and Maintaining Ethical Business Relationships</w:t>
      </w:r>
    </w:p>
    <w:p w:rsidR="003149CC" w:rsidRDefault="003149CC" w:rsidP="003149C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149CC" w:rsidRDefault="003149CC" w:rsidP="003149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149CC" w:rsidRDefault="003149CC" w:rsidP="003149C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149CC" w:rsidRDefault="003149CC">
      <w:pPr>
        <w:rPr>
          <w:rFonts w:ascii="Times New Roman" w:hAnsi="Times New Roman" w:cs="Times New Roman"/>
          <w:sz w:val="24"/>
          <w:szCs w:val="24"/>
        </w:rPr>
      </w:pPr>
      <w:r>
        <w:rPr>
          <w:rFonts w:ascii="Times New Roman" w:hAnsi="Times New Roman" w:cs="Times New Roman"/>
          <w:sz w:val="24"/>
          <w:szCs w:val="24"/>
        </w:rPr>
        <w:br w:type="page"/>
      </w:r>
    </w:p>
    <w:p w:rsidR="003149CC" w:rsidRDefault="003149CC" w:rsidP="00823FEB">
      <w:pPr>
        <w:spacing w:line="480" w:lineRule="auto"/>
        <w:jc w:val="center"/>
        <w:rPr>
          <w:rFonts w:ascii="Times New Roman" w:hAnsi="Times New Roman" w:cs="Times New Roman"/>
          <w:sz w:val="24"/>
          <w:szCs w:val="24"/>
        </w:rPr>
      </w:pPr>
      <w:r w:rsidRPr="003149CC">
        <w:rPr>
          <w:rFonts w:ascii="Times New Roman" w:hAnsi="Times New Roman" w:cs="Times New Roman"/>
          <w:sz w:val="24"/>
          <w:szCs w:val="24"/>
        </w:rPr>
        <w:lastRenderedPageBreak/>
        <w:t>Corporate Compliance and Maintaining Ethical Business Relationships</w:t>
      </w:r>
    </w:p>
    <w:p w:rsidR="00823FEB" w:rsidRPr="00823FEB" w:rsidRDefault="00823FEB" w:rsidP="00823FEB">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The case of United States v. Greber encompasses</w:t>
      </w:r>
      <w:r>
        <w:rPr>
          <w:rFonts w:ascii="Times New Roman" w:hAnsi="Times New Roman" w:cs="Times New Roman"/>
          <w:sz w:val="24"/>
          <w:szCs w:val="24"/>
        </w:rPr>
        <w:t xml:space="preserve"> insightful knowledge on health programs in the United States. In other words, it</w:t>
      </w:r>
      <w:r w:rsidRPr="00823FEB">
        <w:rPr>
          <w:rFonts w:ascii="Times New Roman" w:hAnsi="Times New Roman" w:cs="Times New Roman"/>
          <w:sz w:val="24"/>
          <w:szCs w:val="24"/>
        </w:rPr>
        <w:t xml:space="preserve"> sheds more light regarding the programs of Medicare and Medicaid in America. Both Medicaid and Medicare are essential programs that aim at improving the health of Americans</w:t>
      </w:r>
      <w:r>
        <w:rPr>
          <w:rFonts w:ascii="Times New Roman" w:hAnsi="Times New Roman" w:cs="Times New Roman"/>
          <w:sz w:val="24"/>
          <w:szCs w:val="24"/>
        </w:rPr>
        <w:t xml:space="preserve"> regardless of the background or status</w:t>
      </w:r>
      <w:r w:rsidRPr="00823FEB">
        <w:rPr>
          <w:rFonts w:ascii="Times New Roman" w:hAnsi="Times New Roman" w:cs="Times New Roman"/>
          <w:sz w:val="24"/>
          <w:szCs w:val="24"/>
        </w:rPr>
        <w:t>. According</w:t>
      </w:r>
      <w:r>
        <w:rPr>
          <w:rFonts w:ascii="Times New Roman" w:hAnsi="Times New Roman" w:cs="Times New Roman"/>
          <w:sz w:val="24"/>
          <w:szCs w:val="24"/>
        </w:rPr>
        <w:t xml:space="preserve"> to Showalter, 2012),</w:t>
      </w:r>
      <w:r w:rsidRPr="00823FEB">
        <w:rPr>
          <w:rFonts w:ascii="Times New Roman" w:hAnsi="Times New Roman" w:cs="Times New Roman"/>
          <w:sz w:val="24"/>
          <w:szCs w:val="24"/>
        </w:rPr>
        <w:t xml:space="preserve"> Greber is the defiant as well as the specialist who compensated healthcare providers excessively for the work that was performed by ot</w:t>
      </w:r>
      <w:r>
        <w:rPr>
          <w:rFonts w:ascii="Times New Roman" w:hAnsi="Times New Roman" w:cs="Times New Roman"/>
          <w:sz w:val="24"/>
          <w:szCs w:val="24"/>
        </w:rPr>
        <w:t>her physicians. The main reason</w:t>
      </w:r>
      <w:r w:rsidRPr="00823FEB">
        <w:rPr>
          <w:rFonts w:ascii="Times New Roman" w:hAnsi="Times New Roman" w:cs="Times New Roman"/>
          <w:sz w:val="24"/>
          <w:szCs w:val="24"/>
        </w:rPr>
        <w:t xml:space="preserve"> that Greber compensated t</w:t>
      </w:r>
      <w:r>
        <w:rPr>
          <w:rFonts w:ascii="Times New Roman" w:hAnsi="Times New Roman" w:cs="Times New Roman"/>
          <w:sz w:val="24"/>
          <w:szCs w:val="24"/>
        </w:rPr>
        <w:t xml:space="preserve">he physicians too excessively was to motivate future referrals. </w:t>
      </w:r>
      <w:r w:rsidRPr="00823FEB">
        <w:rPr>
          <w:rFonts w:ascii="Times New Roman" w:hAnsi="Times New Roman" w:cs="Times New Roman"/>
          <w:sz w:val="24"/>
          <w:szCs w:val="24"/>
        </w:rPr>
        <w:t>In this case, the primary reason for the compensation of the healthcare providers was as a way of encouraging referrals in the near future</w:t>
      </w:r>
      <w:r>
        <w:rPr>
          <w:rFonts w:ascii="Times New Roman" w:hAnsi="Times New Roman" w:cs="Times New Roman"/>
          <w:sz w:val="24"/>
          <w:szCs w:val="24"/>
        </w:rPr>
        <w:t xml:space="preserve"> to provide care to more patients</w:t>
      </w:r>
      <w:r w:rsidRPr="00823FEB">
        <w:rPr>
          <w:rFonts w:ascii="Times New Roman" w:hAnsi="Times New Roman" w:cs="Times New Roman"/>
          <w:sz w:val="24"/>
          <w:szCs w:val="24"/>
        </w:rPr>
        <w:t xml:space="preserve">. On the same note, the main agenda </w:t>
      </w:r>
      <w:r>
        <w:rPr>
          <w:rFonts w:ascii="Times New Roman" w:hAnsi="Times New Roman" w:cs="Times New Roman"/>
          <w:sz w:val="24"/>
          <w:szCs w:val="24"/>
        </w:rPr>
        <w:t xml:space="preserve">in this case </w:t>
      </w:r>
      <w:r w:rsidRPr="00823FEB">
        <w:rPr>
          <w:rFonts w:ascii="Times New Roman" w:hAnsi="Times New Roman" w:cs="Times New Roman"/>
          <w:sz w:val="24"/>
          <w:szCs w:val="24"/>
        </w:rPr>
        <w:t>was the question on whether payments for referr</w:t>
      </w:r>
      <w:r>
        <w:rPr>
          <w:rFonts w:ascii="Times New Roman" w:hAnsi="Times New Roman" w:cs="Times New Roman"/>
          <w:sz w:val="24"/>
          <w:szCs w:val="24"/>
        </w:rPr>
        <w:t>al physicians were illegal or they were</w:t>
      </w:r>
      <w:r w:rsidRPr="00823FEB">
        <w:rPr>
          <w:rFonts w:ascii="Times New Roman" w:hAnsi="Times New Roman" w:cs="Times New Roman"/>
          <w:sz w:val="24"/>
          <w:szCs w:val="24"/>
        </w:rPr>
        <w:t xml:space="preserve"> undertaken for future purposes even though the payments are subject to being compensated.  Moreover, Greber is obligated to ensure that all the guidelines are conducted with care  </w:t>
      </w:r>
    </w:p>
    <w:p w:rsidR="00823FEB" w:rsidRPr="00823FEB" w:rsidRDefault="00823FEB" w:rsidP="00823FEB">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The case concerning the United States v. McClatchey sheds light regarding fraud and false claims in the healthcare context. According to Showalter (2012), the Chief Operating Officer in Baptist Medical Center was Mr McClatchey, who was requested by doctors to buy their practices in exchange of moving all their patients to Baptist Medical Center. However, the hospital did not consider the offer, although it allowed their doctors to provide their services for free for the benefit of the patients. As such, $75, 000 annually was to be provided to cater for the medical services provided. After the contract was set, the healthcare providers began admitting their patients in Baptist Medical Center (Leagle, 2014). Further, the two healthcare providers were accused of going against the anti-kickback statute or the AKS. The </w:t>
      </w:r>
      <w:r w:rsidRPr="00823FEB">
        <w:rPr>
          <w:rFonts w:ascii="Times New Roman" w:hAnsi="Times New Roman" w:cs="Times New Roman"/>
          <w:sz w:val="24"/>
          <w:szCs w:val="24"/>
        </w:rPr>
        <w:lastRenderedPageBreak/>
        <w:t>motion of acquittal for McClatchey was ruled with respect to the fact that all the juries failed to identify the fact that he intentionally had the aim of going against the law.</w:t>
      </w:r>
    </w:p>
    <w:p w:rsidR="00AF6C63" w:rsidRDefault="00823FEB" w:rsidP="00823FEB">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For this case, the main issue concerns the criminal content was ‘whole purpose’ or ‘in part’ in the violation of the anti-kickback statute through entering in a contract with the healthcare providers. Another question was whether McClatchey violated the anti-kickback statute or not. Also, McClatchey embraced the fact that the jury was granted inappropriate instruction after the rule. Concerning the law, Medicare Anti-kickback Act was fundamental since it enabled the court in its </w:t>
      </w:r>
      <w:r>
        <w:rPr>
          <w:rFonts w:ascii="Times New Roman" w:hAnsi="Times New Roman" w:cs="Times New Roman"/>
          <w:sz w:val="24"/>
          <w:szCs w:val="24"/>
        </w:rPr>
        <w:t>ruling of the case</w:t>
      </w:r>
      <w:r w:rsidRPr="00823FEB">
        <w:rPr>
          <w:rFonts w:ascii="Times New Roman" w:hAnsi="Times New Roman" w:cs="Times New Roman"/>
          <w:sz w:val="24"/>
          <w:szCs w:val="24"/>
        </w:rPr>
        <w:t xml:space="preserve">. </w:t>
      </w:r>
    </w:p>
    <w:p w:rsidR="00823FEB" w:rsidRPr="00823FEB" w:rsidRDefault="00823FEB" w:rsidP="00823FEB">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According to Leagle (2014), the Medicare Anti-kickback Act is keen to prohibit wilfully and knowingly offering as well as remuneration to persons regardless of the services and items paid based on the Federal health care program. The CEO of the hospital violated the law by paying the healthcare providers in return for the referral of the patients. </w:t>
      </w:r>
      <w:r>
        <w:rPr>
          <w:rFonts w:ascii="Times New Roman" w:hAnsi="Times New Roman" w:cs="Times New Roman"/>
          <w:sz w:val="24"/>
          <w:szCs w:val="24"/>
        </w:rPr>
        <w:t>On the same note, o</w:t>
      </w:r>
      <w:r w:rsidRPr="00823FEB">
        <w:rPr>
          <w:rFonts w:ascii="Times New Roman" w:hAnsi="Times New Roman" w:cs="Times New Roman"/>
          <w:sz w:val="24"/>
          <w:szCs w:val="24"/>
        </w:rPr>
        <w:t xml:space="preserve">ther healthcare providers involved in this case violated the law since they received payments to refer all their patients to the hospital. </w:t>
      </w:r>
    </w:p>
    <w:p w:rsidR="00823FEB" w:rsidRPr="00823FEB" w:rsidRDefault="00823FEB" w:rsidP="00823FEB">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Consideration of the intent can be used to distinguish Greber from other instances of payments in professional services (Harrington, 2010). For the case of Greber, all the payments during care delivery are paid to healthcare providers to compensate them for </w:t>
      </w:r>
      <w:r>
        <w:rPr>
          <w:rFonts w:ascii="Times New Roman" w:hAnsi="Times New Roman" w:cs="Times New Roman"/>
          <w:sz w:val="24"/>
          <w:szCs w:val="24"/>
        </w:rPr>
        <w:t xml:space="preserve">the services they have provided. </w:t>
      </w:r>
      <w:r w:rsidRPr="00823FEB">
        <w:rPr>
          <w:rFonts w:ascii="Times New Roman" w:hAnsi="Times New Roman" w:cs="Times New Roman"/>
          <w:sz w:val="24"/>
          <w:szCs w:val="24"/>
        </w:rPr>
        <w:t>Although they fail to become the aspects and basis of fraud a</w:t>
      </w:r>
      <w:r>
        <w:rPr>
          <w:rFonts w:ascii="Times New Roman" w:hAnsi="Times New Roman" w:cs="Times New Roman"/>
          <w:sz w:val="24"/>
          <w:szCs w:val="24"/>
        </w:rPr>
        <w:t xml:space="preserve">s far as Medicare is concerned, they were still compensated. </w:t>
      </w:r>
      <w:r w:rsidRPr="00823FEB">
        <w:rPr>
          <w:rFonts w:ascii="Times New Roman" w:hAnsi="Times New Roman" w:cs="Times New Roman"/>
          <w:sz w:val="24"/>
          <w:szCs w:val="24"/>
        </w:rPr>
        <w:t xml:space="preserve">With the inclusion of payments, there are high possibilities that there would be the intention to persuade and call for referrals. It is also worth noting that the law embraces the aspect of remuneration as any aspect that has a monetary value. All the payments which are conducted to referral healthcare providers are not legal if they are aimed to motivate referrals in future (Smith, 2017). Also, the intent </w:t>
      </w:r>
      <w:r w:rsidRPr="00823FEB">
        <w:rPr>
          <w:rFonts w:ascii="Times New Roman" w:hAnsi="Times New Roman" w:cs="Times New Roman"/>
          <w:sz w:val="24"/>
          <w:szCs w:val="24"/>
        </w:rPr>
        <w:lastRenderedPageBreak/>
        <w:t>which is aimed at reducing referrals for the benefit of healthcare providers violate</w:t>
      </w:r>
      <w:r w:rsidR="00432D86">
        <w:rPr>
          <w:rFonts w:ascii="Times New Roman" w:hAnsi="Times New Roman" w:cs="Times New Roman"/>
          <w:sz w:val="24"/>
          <w:szCs w:val="24"/>
        </w:rPr>
        <w:t>s</w:t>
      </w:r>
      <w:r w:rsidRPr="00823FEB">
        <w:rPr>
          <w:rFonts w:ascii="Times New Roman" w:hAnsi="Times New Roman" w:cs="Times New Roman"/>
          <w:sz w:val="24"/>
          <w:szCs w:val="24"/>
        </w:rPr>
        <w:t xml:space="preserve"> the law, and as such, it becomes a violation of the law.</w:t>
      </w:r>
    </w:p>
    <w:p w:rsidR="00823FEB" w:rsidRPr="00823FEB" w:rsidRDefault="00823FEB" w:rsidP="00823FEB">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Supposing the percentage Dr. Greber paid to the physicians failed to extend Medicare’s guidelines, all the payments would not be legalized or permitted in the court’s eyes. According to Showalter (2012), it is evident that the minimization of referrals was seen as an international tort. In the court, the court has the power to support the certifications for Medicare, and </w:t>
      </w:r>
      <w:r>
        <w:rPr>
          <w:rFonts w:ascii="Times New Roman" w:hAnsi="Times New Roman" w:cs="Times New Roman"/>
          <w:sz w:val="24"/>
          <w:szCs w:val="24"/>
        </w:rPr>
        <w:t xml:space="preserve">ensure that </w:t>
      </w:r>
      <w:r w:rsidRPr="00823FEB">
        <w:rPr>
          <w:rFonts w:ascii="Times New Roman" w:hAnsi="Times New Roman" w:cs="Times New Roman"/>
          <w:sz w:val="24"/>
          <w:szCs w:val="24"/>
        </w:rPr>
        <w:t>Medicaid is correct or certified</w:t>
      </w:r>
      <w:r>
        <w:rPr>
          <w:rFonts w:ascii="Times New Roman" w:hAnsi="Times New Roman" w:cs="Times New Roman"/>
          <w:sz w:val="24"/>
          <w:szCs w:val="24"/>
        </w:rPr>
        <w:t xml:space="preserve"> before being applied</w:t>
      </w:r>
      <w:r w:rsidRPr="00823FEB">
        <w:rPr>
          <w:rFonts w:ascii="Times New Roman" w:hAnsi="Times New Roman" w:cs="Times New Roman"/>
          <w:sz w:val="24"/>
          <w:szCs w:val="24"/>
        </w:rPr>
        <w:t xml:space="preserve">. </w:t>
      </w:r>
      <w:r>
        <w:rPr>
          <w:rFonts w:ascii="Times New Roman" w:hAnsi="Times New Roman" w:cs="Times New Roman"/>
          <w:sz w:val="24"/>
          <w:szCs w:val="24"/>
        </w:rPr>
        <w:t xml:space="preserve">In this case, </w:t>
      </w:r>
      <w:r w:rsidRPr="00823FEB">
        <w:rPr>
          <w:rFonts w:ascii="Times New Roman" w:hAnsi="Times New Roman" w:cs="Times New Roman"/>
          <w:sz w:val="24"/>
          <w:szCs w:val="24"/>
        </w:rPr>
        <w:t xml:space="preserve">Medicare was used materially, and as such, the court was to identify that the program was violated. In the court, it is advisable that the court critically reviews all the statements related to the program to verify the fact that monitors were used in more than eight hours. If the elapsed time could have been accurate, Medicare should not have allowed the claims or the payments. For that reason, the element of materiality would have been promoted. On the same note, the judges and the court demanded more time to decide and rule the case after tabling evidence. </w:t>
      </w:r>
    </w:p>
    <w:p w:rsidR="00823FEB" w:rsidRPr="00823FEB" w:rsidRDefault="00823FEB" w:rsidP="008072FE">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Hospitals provide perks to physicians such as preferred parking, free meals, and discounted care for themselves and their family. The provision of gifts is likely to trigger the rise of criminal liabilities based on the federal Anti-Kickback Statute. According to Showalter (2012), the Anti-Kickback Statute tends to discourage t</w:t>
      </w:r>
      <w:r w:rsidR="008072FE">
        <w:rPr>
          <w:rFonts w:ascii="Times New Roman" w:hAnsi="Times New Roman" w:cs="Times New Roman"/>
          <w:sz w:val="24"/>
          <w:szCs w:val="24"/>
        </w:rPr>
        <w:t xml:space="preserve">he receipts and payments of all forms of </w:t>
      </w:r>
      <w:r w:rsidRPr="00823FEB">
        <w:rPr>
          <w:rFonts w:ascii="Times New Roman" w:hAnsi="Times New Roman" w:cs="Times New Roman"/>
          <w:sz w:val="24"/>
          <w:szCs w:val="24"/>
        </w:rPr>
        <w:t xml:space="preserve">the remuneration. The remuneration is aimed to minimize leasing, purchasing and ordering all the services and items under federal health care programs. In addition, hospitals may decide to provide compensation, which is based on non-monetary to healthcare providers. There has been a certain amount of money which is set by the law, </w:t>
      </w:r>
      <w:r w:rsidR="008072FE">
        <w:rPr>
          <w:rFonts w:ascii="Times New Roman" w:hAnsi="Times New Roman" w:cs="Times New Roman"/>
          <w:sz w:val="24"/>
          <w:szCs w:val="24"/>
        </w:rPr>
        <w:t xml:space="preserve">and as such, it </w:t>
      </w:r>
      <w:r w:rsidRPr="00823FEB">
        <w:rPr>
          <w:rFonts w:ascii="Times New Roman" w:hAnsi="Times New Roman" w:cs="Times New Roman"/>
          <w:sz w:val="24"/>
          <w:szCs w:val="24"/>
        </w:rPr>
        <w:t xml:space="preserve">is aimed at ensuring that hospitals spend money while they meet the requirements of the law. </w:t>
      </w:r>
      <w:r w:rsidRPr="00823FEB">
        <w:rPr>
          <w:rFonts w:ascii="Times New Roman" w:hAnsi="Times New Roman" w:cs="Times New Roman"/>
          <w:sz w:val="24"/>
          <w:szCs w:val="24"/>
        </w:rPr>
        <w:lastRenderedPageBreak/>
        <w:t xml:space="preserve">Stark Laws assert that exceptions for the medical staff and compensation for non-monetary are supposed to be met. </w:t>
      </w:r>
    </w:p>
    <w:p w:rsidR="00AF6C63" w:rsidRDefault="00823FEB" w:rsidP="00A71E95">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In addition, hospitals are supposed to provide </w:t>
      </w:r>
      <w:r w:rsidR="00A71E95">
        <w:rPr>
          <w:rFonts w:ascii="Times New Roman" w:hAnsi="Times New Roman" w:cs="Times New Roman"/>
          <w:sz w:val="24"/>
          <w:szCs w:val="24"/>
        </w:rPr>
        <w:t xml:space="preserve">and ensure the regulation of </w:t>
      </w:r>
      <w:r w:rsidRPr="00823FEB">
        <w:rPr>
          <w:rFonts w:ascii="Times New Roman" w:hAnsi="Times New Roman" w:cs="Times New Roman"/>
          <w:sz w:val="24"/>
          <w:szCs w:val="24"/>
        </w:rPr>
        <w:t xml:space="preserve">financial relationships with healthcare providers. </w:t>
      </w:r>
      <w:r w:rsidR="00A71E95">
        <w:rPr>
          <w:rFonts w:ascii="Times New Roman" w:hAnsi="Times New Roman" w:cs="Times New Roman"/>
          <w:sz w:val="24"/>
          <w:szCs w:val="24"/>
        </w:rPr>
        <w:t>According to Smith (2017), h</w:t>
      </w:r>
      <w:r w:rsidRPr="00823FEB">
        <w:rPr>
          <w:rFonts w:ascii="Times New Roman" w:hAnsi="Times New Roman" w:cs="Times New Roman"/>
          <w:sz w:val="24"/>
          <w:szCs w:val="24"/>
        </w:rPr>
        <w:t>ealthcare providers may decide not to use or consult the hospital for the benefit of th</w:t>
      </w:r>
      <w:r w:rsidR="00A71E95">
        <w:rPr>
          <w:rFonts w:ascii="Times New Roman" w:hAnsi="Times New Roman" w:cs="Times New Roman"/>
          <w:sz w:val="24"/>
          <w:szCs w:val="24"/>
        </w:rPr>
        <w:t>e provisions of health services. The health services are designated, and some of the main examples are;</w:t>
      </w:r>
      <w:r w:rsidRPr="00823FEB">
        <w:rPr>
          <w:rFonts w:ascii="Times New Roman" w:hAnsi="Times New Roman" w:cs="Times New Roman"/>
          <w:sz w:val="24"/>
          <w:szCs w:val="24"/>
        </w:rPr>
        <w:t xml:space="preserve"> outpatient and inpatient services. For that reason, hospitals may decide not to bill for such </w:t>
      </w:r>
      <w:r w:rsidR="00432D86">
        <w:rPr>
          <w:rFonts w:ascii="Times New Roman" w:hAnsi="Times New Roman" w:cs="Times New Roman"/>
          <w:sz w:val="24"/>
          <w:szCs w:val="24"/>
        </w:rPr>
        <w:t>services without exceptions</w:t>
      </w:r>
      <w:r w:rsidRPr="00823FEB">
        <w:rPr>
          <w:rFonts w:ascii="Times New Roman" w:hAnsi="Times New Roman" w:cs="Times New Roman"/>
          <w:sz w:val="24"/>
          <w:szCs w:val="24"/>
        </w:rPr>
        <w:t xml:space="preserve"> made</w:t>
      </w:r>
      <w:r w:rsidR="00A71E95">
        <w:rPr>
          <w:rFonts w:ascii="Times New Roman" w:hAnsi="Times New Roman" w:cs="Times New Roman"/>
          <w:sz w:val="24"/>
          <w:szCs w:val="24"/>
        </w:rPr>
        <w:t xml:space="preserve"> to avoid violating the law</w:t>
      </w:r>
      <w:r w:rsidRPr="00823FEB">
        <w:rPr>
          <w:rFonts w:ascii="Times New Roman" w:hAnsi="Times New Roman" w:cs="Times New Roman"/>
          <w:sz w:val="24"/>
          <w:szCs w:val="24"/>
        </w:rPr>
        <w:t xml:space="preserve">. In reference to Stark Law, financial relationships are much emphasized based on the remunerations and all kinds of compensation. </w:t>
      </w:r>
    </w:p>
    <w:p w:rsidR="00823FEB" w:rsidRPr="00823FEB" w:rsidRDefault="00AF6C63" w:rsidP="00A71E95">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i</w:t>
      </w:r>
      <w:r w:rsidR="00823FEB" w:rsidRPr="00823FEB">
        <w:rPr>
          <w:rFonts w:ascii="Times New Roman" w:hAnsi="Times New Roman" w:cs="Times New Roman"/>
          <w:sz w:val="24"/>
          <w:szCs w:val="24"/>
        </w:rPr>
        <w:t>t is fundamental for hospitals to update the latest tracking tools for non-monetary benefit with the aim of ensuring payments and compensations are made</w:t>
      </w:r>
      <w:r w:rsidR="00A71E95">
        <w:rPr>
          <w:rFonts w:ascii="Times New Roman" w:hAnsi="Times New Roman" w:cs="Times New Roman"/>
          <w:sz w:val="24"/>
          <w:szCs w:val="24"/>
        </w:rPr>
        <w:t xml:space="preserve"> without violating the law or relevant acts</w:t>
      </w:r>
      <w:r w:rsidR="00823FEB" w:rsidRPr="00823FEB">
        <w:rPr>
          <w:rFonts w:ascii="Times New Roman" w:hAnsi="Times New Roman" w:cs="Times New Roman"/>
          <w:sz w:val="24"/>
          <w:szCs w:val="24"/>
        </w:rPr>
        <w:t xml:space="preserve"> (Showalter, 2012). Moreover, the ‘line’ in the provision of services such as parking, free meals, and discounted care for themselves and family is governed by the fact that various hospitals handle their patients differently. The compensation which is in the form of services and items from hospitals to member of the medical staff in case services and items are used on the campus of the hospital</w:t>
      </w:r>
      <w:r w:rsidR="00432D86">
        <w:rPr>
          <w:rFonts w:ascii="Times New Roman" w:hAnsi="Times New Roman" w:cs="Times New Roman"/>
          <w:sz w:val="24"/>
          <w:szCs w:val="24"/>
        </w:rPr>
        <w:t xml:space="preserve"> is also relevant</w:t>
      </w:r>
      <w:r w:rsidR="00823FEB" w:rsidRPr="00823FEB">
        <w:rPr>
          <w:rFonts w:ascii="Times New Roman" w:hAnsi="Times New Roman" w:cs="Times New Roman"/>
          <w:sz w:val="24"/>
          <w:szCs w:val="24"/>
        </w:rPr>
        <w:t xml:space="preserve">. In addition, the compensation is provided to all members of the medical staff based on the speciality without the value of other businesses which has been promoted by other parties. </w:t>
      </w:r>
    </w:p>
    <w:p w:rsidR="00823FEB" w:rsidRPr="00823FEB" w:rsidRDefault="00823FEB" w:rsidP="00A71E95">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In this case, </w:t>
      </w:r>
      <w:r w:rsidR="00A71E95">
        <w:rPr>
          <w:rFonts w:ascii="Times New Roman" w:hAnsi="Times New Roman" w:cs="Times New Roman"/>
          <w:sz w:val="24"/>
          <w:szCs w:val="24"/>
        </w:rPr>
        <w:t>‘‘</w:t>
      </w:r>
      <w:r w:rsidRPr="00823FEB">
        <w:rPr>
          <w:rFonts w:ascii="Times New Roman" w:hAnsi="Times New Roman" w:cs="Times New Roman"/>
          <w:sz w:val="24"/>
          <w:szCs w:val="24"/>
        </w:rPr>
        <w:t>how much is too much</w:t>
      </w:r>
      <w:r w:rsidR="00A71E95">
        <w:rPr>
          <w:rFonts w:ascii="Times New Roman" w:hAnsi="Times New Roman" w:cs="Times New Roman"/>
          <w:sz w:val="24"/>
          <w:szCs w:val="24"/>
        </w:rPr>
        <w:t>’’</w:t>
      </w:r>
      <w:r w:rsidRPr="00823FEB">
        <w:rPr>
          <w:rFonts w:ascii="Times New Roman" w:hAnsi="Times New Roman" w:cs="Times New Roman"/>
          <w:sz w:val="24"/>
          <w:szCs w:val="24"/>
        </w:rPr>
        <w:t xml:space="preserve"> means that at times, physicians benefit too much from</w:t>
      </w:r>
      <w:r w:rsidR="00A71E95">
        <w:rPr>
          <w:rFonts w:ascii="Times New Roman" w:hAnsi="Times New Roman" w:cs="Times New Roman"/>
          <w:sz w:val="24"/>
          <w:szCs w:val="24"/>
        </w:rPr>
        <w:t xml:space="preserve"> hospitals they work</w:t>
      </w:r>
      <w:r w:rsidRPr="00823FEB">
        <w:rPr>
          <w:rFonts w:ascii="Times New Roman" w:hAnsi="Times New Roman" w:cs="Times New Roman"/>
          <w:sz w:val="24"/>
          <w:szCs w:val="24"/>
        </w:rPr>
        <w:t xml:space="preserve">. Except for services such as advertisements, compensation is subjected to be provided primarily in the time when the members of the staff are occupied in activities which may benefit the patients who are receiving care. </w:t>
      </w:r>
      <w:r w:rsidR="00A71E95">
        <w:rPr>
          <w:rFonts w:ascii="Times New Roman" w:hAnsi="Times New Roman" w:cs="Times New Roman"/>
          <w:sz w:val="24"/>
          <w:szCs w:val="24"/>
        </w:rPr>
        <w:t xml:space="preserve">Gaining of profits is not in the equation since the priority is to provide care to patients. </w:t>
      </w:r>
      <w:r w:rsidRPr="00823FEB">
        <w:rPr>
          <w:rFonts w:ascii="Times New Roman" w:hAnsi="Times New Roman" w:cs="Times New Roman"/>
          <w:sz w:val="24"/>
          <w:szCs w:val="24"/>
        </w:rPr>
        <w:t xml:space="preserve">These practices intend to </w:t>
      </w:r>
      <w:r w:rsidRPr="00823FEB">
        <w:rPr>
          <w:rFonts w:ascii="Times New Roman" w:hAnsi="Times New Roman" w:cs="Times New Roman"/>
          <w:sz w:val="24"/>
          <w:szCs w:val="24"/>
        </w:rPr>
        <w:lastRenderedPageBreak/>
        <w:t>motivate and encourage healthcare providers to provide more comprehensive care in hospital. According to Showalter (2012), it is essential to make sure that healthcare providers are comfortable as they provide care to their patients. Benefits that healthcare providers receive are meant to make a life for healthcare providers easier. Healthcare providers are likely to provide comprehensive care in case they are motiv</w:t>
      </w:r>
      <w:r w:rsidR="00A71E95">
        <w:rPr>
          <w:rFonts w:ascii="Times New Roman" w:hAnsi="Times New Roman" w:cs="Times New Roman"/>
          <w:sz w:val="24"/>
          <w:szCs w:val="24"/>
        </w:rPr>
        <w:t>ated with services. H</w:t>
      </w:r>
      <w:r w:rsidRPr="00823FEB">
        <w:rPr>
          <w:rFonts w:ascii="Times New Roman" w:hAnsi="Times New Roman" w:cs="Times New Roman"/>
          <w:sz w:val="24"/>
          <w:szCs w:val="24"/>
        </w:rPr>
        <w:t xml:space="preserve">ealthcare providers can improve the administration of care hence promoting the patient’s health. </w:t>
      </w:r>
      <w:r w:rsidR="00A71E95">
        <w:rPr>
          <w:rFonts w:ascii="Times New Roman" w:hAnsi="Times New Roman" w:cs="Times New Roman"/>
          <w:sz w:val="24"/>
          <w:szCs w:val="24"/>
        </w:rPr>
        <w:t xml:space="preserve">For that reason, benefits that physicians receive are legal although regulation as mandated by the law should be followed. </w:t>
      </w:r>
    </w:p>
    <w:p w:rsidR="00823FEB" w:rsidRPr="00823FEB" w:rsidRDefault="00823FEB" w:rsidP="001768DD">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Another case involving payment for referral concerns Christiana Care Health System and Neurology Associates. Christina Care Health System agreed to pay the state of Delaware as well as the United States $ 3.5 million to pay the lawsuit of a whistle-blower (Showalter, 2012). The main issue was that the healthcare system paid kickbacks and entered </w:t>
      </w:r>
      <w:r w:rsidR="001768DD">
        <w:rPr>
          <w:rFonts w:ascii="Times New Roman" w:hAnsi="Times New Roman" w:cs="Times New Roman"/>
          <w:sz w:val="24"/>
          <w:szCs w:val="24"/>
        </w:rPr>
        <w:t>into relationships which were unprofessional and</w:t>
      </w:r>
      <w:r w:rsidRPr="00823FEB">
        <w:rPr>
          <w:rFonts w:ascii="Times New Roman" w:hAnsi="Times New Roman" w:cs="Times New Roman"/>
          <w:sz w:val="24"/>
          <w:szCs w:val="24"/>
        </w:rPr>
        <w:t xml:space="preserve"> improper with healthcare </w:t>
      </w:r>
      <w:r w:rsidR="008E61E4">
        <w:rPr>
          <w:rFonts w:ascii="Times New Roman" w:hAnsi="Times New Roman" w:cs="Times New Roman"/>
          <w:sz w:val="24"/>
          <w:szCs w:val="24"/>
        </w:rPr>
        <w:t>providers who were</w:t>
      </w:r>
      <w:r w:rsidRPr="00823FEB">
        <w:rPr>
          <w:rFonts w:ascii="Times New Roman" w:hAnsi="Times New Roman" w:cs="Times New Roman"/>
          <w:sz w:val="24"/>
          <w:szCs w:val="24"/>
        </w:rPr>
        <w:t xml:space="preserve"> located in New Castle. In this case, Adam Balick, who was the attorney, mentioned that the agreement with the Neurology Associates was agreed for seven years before the Stark Statute began </w:t>
      </w:r>
      <w:r w:rsidR="008E61E4">
        <w:rPr>
          <w:rFonts w:ascii="Times New Roman" w:hAnsi="Times New Roman" w:cs="Times New Roman"/>
          <w:sz w:val="24"/>
          <w:szCs w:val="24"/>
        </w:rPr>
        <w:t>to be applicable.</w:t>
      </w:r>
      <w:r w:rsidRPr="00823FEB">
        <w:rPr>
          <w:rFonts w:ascii="Times New Roman" w:hAnsi="Times New Roman" w:cs="Times New Roman"/>
          <w:sz w:val="24"/>
          <w:szCs w:val="24"/>
        </w:rPr>
        <w:t xml:space="preserve"> As such, Neurology won the contract back and continues to provide medical services in the hospital. For cases similar to this case, third parties are allowed to bring a</w:t>
      </w:r>
      <w:r w:rsidR="00432D86">
        <w:rPr>
          <w:rFonts w:ascii="Times New Roman" w:hAnsi="Times New Roman" w:cs="Times New Roman"/>
          <w:sz w:val="24"/>
          <w:szCs w:val="24"/>
        </w:rPr>
        <w:t>nd introduce lawsuits which blame</w:t>
      </w:r>
      <w:r w:rsidRPr="00823FEB">
        <w:rPr>
          <w:rFonts w:ascii="Times New Roman" w:hAnsi="Times New Roman" w:cs="Times New Roman"/>
          <w:sz w:val="24"/>
          <w:szCs w:val="24"/>
        </w:rPr>
        <w:t xml:space="preserve"> fraud for the government hence being granted a judgement or settlement. In this particular case, the doctors were compensated. </w:t>
      </w:r>
    </w:p>
    <w:p w:rsidR="00823FEB" w:rsidRPr="00823FEB" w:rsidRDefault="00823FEB" w:rsidP="002600BC">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The two cases are similar since the courts asserted and held that in case the remuneration was provided for legitimate reasons, this means the violation of the stature since the primary reason was the referral inducement. In addition, the court held that there was the violation of the Act since the leading doctors sort referrals in a manner that violates the law. However, the two cases are different since the Christiana Care Health System, and </w:t>
      </w:r>
      <w:r w:rsidRPr="00823FEB">
        <w:rPr>
          <w:rFonts w:ascii="Times New Roman" w:hAnsi="Times New Roman" w:cs="Times New Roman"/>
          <w:sz w:val="24"/>
          <w:szCs w:val="24"/>
        </w:rPr>
        <w:lastRenderedPageBreak/>
        <w:t xml:space="preserve">Neurology Associates was subject to further investigations before the provision of the actual decision (Smith, 2017). This was different for the case of McCatchey since there was no entitlement of new trials. In other words, the government was keen to provide and show enough evidence to the jury showing that McCatchey voluntarily, knowingly and purposefully signed a contract with the healthcare providers hence violating the anti-kickback act. </w:t>
      </w:r>
    </w:p>
    <w:p w:rsidR="00823FEB" w:rsidRPr="00823FEB" w:rsidRDefault="00823FEB" w:rsidP="002600BC">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Again, the healthcare reform laws of 2010, such as the Patient Protection and Affordable Care Act of 2010, were changed</w:t>
      </w:r>
      <w:r w:rsidR="002600BC">
        <w:rPr>
          <w:rFonts w:ascii="Times New Roman" w:hAnsi="Times New Roman" w:cs="Times New Roman"/>
          <w:sz w:val="24"/>
          <w:szCs w:val="24"/>
        </w:rPr>
        <w:t xml:space="preserve"> hence taking another direction</w:t>
      </w:r>
      <w:r w:rsidRPr="00823FEB">
        <w:rPr>
          <w:rFonts w:ascii="Times New Roman" w:hAnsi="Times New Roman" w:cs="Times New Roman"/>
          <w:sz w:val="24"/>
          <w:szCs w:val="24"/>
        </w:rPr>
        <w:t>. According to Smith (2017), the Act was able to expand more of its provisions based on the AKS with an intention to allow enforcement agencies for more actions against entities and individuals. Also, the Act makes it clear that individuals may tend to go against AKS knowledge as a result of lack of knowledge or intent to do so. For these reasons, individuals and organizations ought to proceed with more caution</w:t>
      </w:r>
      <w:r w:rsidR="002600BC">
        <w:rPr>
          <w:rFonts w:ascii="Times New Roman" w:hAnsi="Times New Roman" w:cs="Times New Roman"/>
          <w:sz w:val="24"/>
          <w:szCs w:val="24"/>
        </w:rPr>
        <w:t xml:space="preserve"> based on the foundation of the law. For that reason, the</w:t>
      </w:r>
      <w:r w:rsidRPr="00823FEB">
        <w:rPr>
          <w:rFonts w:ascii="Times New Roman" w:hAnsi="Times New Roman" w:cs="Times New Roman"/>
          <w:sz w:val="24"/>
          <w:szCs w:val="24"/>
        </w:rPr>
        <w:t xml:space="preserve"> government</w:t>
      </w:r>
      <w:r w:rsidR="002600BC">
        <w:rPr>
          <w:rFonts w:ascii="Times New Roman" w:hAnsi="Times New Roman" w:cs="Times New Roman"/>
          <w:sz w:val="24"/>
          <w:szCs w:val="24"/>
        </w:rPr>
        <w:t xml:space="preserve"> will able</w:t>
      </w:r>
      <w:r w:rsidRPr="00823FEB">
        <w:rPr>
          <w:rFonts w:ascii="Times New Roman" w:hAnsi="Times New Roman" w:cs="Times New Roman"/>
          <w:sz w:val="24"/>
          <w:szCs w:val="24"/>
        </w:rPr>
        <w:t xml:space="preserve"> to pursue arrangements which may be inappropriate. </w:t>
      </w:r>
    </w:p>
    <w:p w:rsidR="00823FEB" w:rsidRPr="00823FEB" w:rsidRDefault="00823FEB" w:rsidP="002600BC">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Tillich asserts that the concepts of love, power and justice exist in the context of the application of ethics</w:t>
      </w:r>
      <w:r w:rsidR="002600BC">
        <w:rPr>
          <w:rFonts w:ascii="Times New Roman" w:hAnsi="Times New Roman" w:cs="Times New Roman"/>
          <w:sz w:val="24"/>
          <w:szCs w:val="24"/>
        </w:rPr>
        <w:t xml:space="preserve"> in everything that human beings do</w:t>
      </w:r>
      <w:r w:rsidRPr="00823FEB">
        <w:rPr>
          <w:rFonts w:ascii="Times New Roman" w:hAnsi="Times New Roman" w:cs="Times New Roman"/>
          <w:sz w:val="24"/>
          <w:szCs w:val="24"/>
        </w:rPr>
        <w:t>. There are relationships between God, within groups and between persons. Besides, the author attempts to show the relationship between the three concepts. Love is a drive which can be separated from the unity of being in an original form. According to Coogan (2018), power is simply the realization of oneself based on the elements of extensity and intensity. Justice is an adequate form of being in love. All these aspects promote equality for everyone in society. Equality is a fundamental virtue which aims at creating equal opportunities for everyone in society</w:t>
      </w:r>
      <w:r w:rsidR="00184118">
        <w:rPr>
          <w:rFonts w:ascii="Times New Roman" w:hAnsi="Times New Roman" w:cs="Times New Roman"/>
          <w:sz w:val="24"/>
          <w:szCs w:val="24"/>
        </w:rPr>
        <w:t xml:space="preserve"> to make them feel appreciated</w:t>
      </w:r>
      <w:r w:rsidRPr="00823FEB">
        <w:rPr>
          <w:rFonts w:ascii="Times New Roman" w:hAnsi="Times New Roman" w:cs="Times New Roman"/>
          <w:sz w:val="24"/>
          <w:szCs w:val="24"/>
        </w:rPr>
        <w:t xml:space="preserve">. The aspect of equality is also seen through the grace of God upon the provision of forgiveness and mercy regardless of the background, status, gender and </w:t>
      </w:r>
      <w:r w:rsidRPr="00823FEB">
        <w:rPr>
          <w:rFonts w:ascii="Times New Roman" w:hAnsi="Times New Roman" w:cs="Times New Roman"/>
          <w:sz w:val="24"/>
          <w:szCs w:val="24"/>
        </w:rPr>
        <w:lastRenderedPageBreak/>
        <w:t xml:space="preserve">race of the individual. As such, God is not governed by the proportion </w:t>
      </w:r>
      <w:r w:rsidR="00184118">
        <w:rPr>
          <w:rFonts w:ascii="Times New Roman" w:hAnsi="Times New Roman" w:cs="Times New Roman"/>
          <w:sz w:val="24"/>
          <w:szCs w:val="24"/>
        </w:rPr>
        <w:t>between value and merit, since H</w:t>
      </w:r>
      <w:r w:rsidRPr="00823FEB">
        <w:rPr>
          <w:rFonts w:ascii="Times New Roman" w:hAnsi="Times New Roman" w:cs="Times New Roman"/>
          <w:sz w:val="24"/>
          <w:szCs w:val="24"/>
        </w:rPr>
        <w:t>e can easily change proportions creatively. The author enables us to understand how God is just, loving and merciful at the same time among his people.  </w:t>
      </w:r>
    </w:p>
    <w:p w:rsidR="00AF6C63" w:rsidRDefault="00823FEB" w:rsidP="00674252">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It can also be concluded that creative justice triggers atonement theories, which are classically based on being superfluous. The author makes it clear that it is possible to alter the proportion of tribute and merit (Tillich, 2011). In this case, the atonement tends to become symbols for divine love hence participating in actions which may change the concepts of love. Justice is seen as a concept that continues to prevail among people in their daily lives, and as such, people are advised to practice justice to others the same way God did. </w:t>
      </w:r>
    </w:p>
    <w:p w:rsidR="00823FEB" w:rsidRPr="00823FEB" w:rsidRDefault="00823FEB" w:rsidP="00674252">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The theme of corporate compliance and maintaining ethical business relationships is vital in today’s business world. In every business, equality and justice are essential aspects which act as the glue that binds customers, suppliers, governments, partners, regulators and employer to employees. All the stakeholders who are part and parcel of the business demand high values of transparency and equality as well as ethical </w:t>
      </w:r>
      <w:r w:rsidR="00432D86" w:rsidRPr="00823FEB">
        <w:rPr>
          <w:rFonts w:ascii="Times New Roman" w:hAnsi="Times New Roman" w:cs="Times New Roman"/>
          <w:sz w:val="24"/>
          <w:szCs w:val="24"/>
        </w:rPr>
        <w:t>behaviours</w:t>
      </w:r>
      <w:r w:rsidR="00432D86">
        <w:t xml:space="preserve"> (</w:t>
      </w:r>
      <w:r w:rsidR="00BD4F94">
        <w:rPr>
          <w:rFonts w:ascii="Times New Roman" w:hAnsi="Times New Roman" w:cs="Times New Roman"/>
          <w:sz w:val="24"/>
          <w:szCs w:val="24"/>
        </w:rPr>
        <w:t>Johnson, 2018)</w:t>
      </w:r>
      <w:r w:rsidRPr="00823FEB">
        <w:rPr>
          <w:rFonts w:ascii="Times New Roman" w:hAnsi="Times New Roman" w:cs="Times New Roman"/>
          <w:sz w:val="24"/>
          <w:szCs w:val="24"/>
        </w:rPr>
        <w:t xml:space="preserve">. </w:t>
      </w:r>
      <w:r w:rsidR="00674252">
        <w:rPr>
          <w:rFonts w:ascii="Times New Roman" w:hAnsi="Times New Roman" w:cs="Times New Roman"/>
          <w:sz w:val="24"/>
          <w:szCs w:val="24"/>
        </w:rPr>
        <w:t xml:space="preserve">The recognition of ethics in a business will trigger success as well as promoting justice and equality among employees. </w:t>
      </w:r>
    </w:p>
    <w:p w:rsidR="00AF6C63" w:rsidRDefault="00823FEB" w:rsidP="00BD4F94">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 xml:space="preserve">Moreover, effective compliance towards ethical perspectives is a vital tool in any business since it can build </w:t>
      </w:r>
      <w:r w:rsidR="00BD4F94">
        <w:rPr>
          <w:rFonts w:ascii="Times New Roman" w:hAnsi="Times New Roman" w:cs="Times New Roman"/>
          <w:sz w:val="24"/>
          <w:szCs w:val="24"/>
        </w:rPr>
        <w:t xml:space="preserve">and strengthen </w:t>
      </w:r>
      <w:r w:rsidRPr="00823FEB">
        <w:rPr>
          <w:rFonts w:ascii="Times New Roman" w:hAnsi="Times New Roman" w:cs="Times New Roman"/>
          <w:sz w:val="24"/>
          <w:szCs w:val="24"/>
        </w:rPr>
        <w:t>equality and trust. According to Johnson (2018), customers and employees are motivated to conduct business based on all the existing aspects which can maintain ethical relationships. The business authorities have attempted to promote ethical perspectives in business</w:t>
      </w:r>
      <w:r w:rsidR="00BD4F94">
        <w:rPr>
          <w:rFonts w:ascii="Times New Roman" w:hAnsi="Times New Roman" w:cs="Times New Roman"/>
          <w:sz w:val="24"/>
          <w:szCs w:val="24"/>
        </w:rPr>
        <w:t>es</w:t>
      </w:r>
      <w:r w:rsidRPr="00823FEB">
        <w:rPr>
          <w:rFonts w:ascii="Times New Roman" w:hAnsi="Times New Roman" w:cs="Times New Roman"/>
          <w:sz w:val="24"/>
          <w:szCs w:val="24"/>
        </w:rPr>
        <w:t xml:space="preserve"> based on issues such as data privacy, anti-corruption and antitrust, among others. Again, compliance standards demand that businesses to go further and execute specific policies as long as they are based on ethics. Code of conduct is vital </w:t>
      </w:r>
      <w:r w:rsidRPr="00823FEB">
        <w:rPr>
          <w:rFonts w:ascii="Times New Roman" w:hAnsi="Times New Roman" w:cs="Times New Roman"/>
          <w:sz w:val="24"/>
          <w:szCs w:val="24"/>
        </w:rPr>
        <w:lastRenderedPageBreak/>
        <w:t xml:space="preserve">since it prohibits unethical behaviours hence encouraging more business operations (Johnson, 2018). </w:t>
      </w:r>
    </w:p>
    <w:p w:rsidR="002C0E46" w:rsidRDefault="00823FEB" w:rsidP="00BD4F94">
      <w:pPr>
        <w:spacing w:line="480" w:lineRule="auto"/>
        <w:ind w:firstLine="720"/>
        <w:rPr>
          <w:rFonts w:ascii="Times New Roman" w:hAnsi="Times New Roman" w:cs="Times New Roman"/>
          <w:sz w:val="24"/>
          <w:szCs w:val="24"/>
        </w:rPr>
      </w:pPr>
      <w:r w:rsidRPr="00823FEB">
        <w:rPr>
          <w:rFonts w:ascii="Times New Roman" w:hAnsi="Times New Roman" w:cs="Times New Roman"/>
          <w:sz w:val="24"/>
          <w:szCs w:val="24"/>
        </w:rPr>
        <w:t>For ethical concerns to be promoted, it is crucial to ensure that third parties respect and follow all standards and protocols to promote ethics. Training is also critical in the achievement of strong complianc</w:t>
      </w:r>
      <w:r w:rsidR="006A5C09">
        <w:rPr>
          <w:rFonts w:ascii="Times New Roman" w:hAnsi="Times New Roman" w:cs="Times New Roman"/>
          <w:sz w:val="24"/>
          <w:szCs w:val="24"/>
        </w:rPr>
        <w:t>e programs in the context of an existing</w:t>
      </w:r>
      <w:r w:rsidRPr="00823FEB">
        <w:rPr>
          <w:rFonts w:ascii="Times New Roman" w:hAnsi="Times New Roman" w:cs="Times New Roman"/>
          <w:sz w:val="24"/>
          <w:szCs w:val="24"/>
        </w:rPr>
        <w:t xml:space="preserve"> business. All the employees, third parties and officers</w:t>
      </w:r>
      <w:r w:rsidR="007F7CCD">
        <w:rPr>
          <w:rFonts w:ascii="Times New Roman" w:hAnsi="Times New Roman" w:cs="Times New Roman"/>
          <w:sz w:val="24"/>
          <w:szCs w:val="24"/>
        </w:rPr>
        <w:t xml:space="preserve"> as well as stakeholders</w:t>
      </w:r>
      <w:r w:rsidRPr="00823FEB">
        <w:rPr>
          <w:rFonts w:ascii="Times New Roman" w:hAnsi="Times New Roman" w:cs="Times New Roman"/>
          <w:sz w:val="24"/>
          <w:szCs w:val="24"/>
        </w:rPr>
        <w:t xml:space="preserve"> should be trained</w:t>
      </w:r>
      <w:r w:rsidR="007F7CCD">
        <w:rPr>
          <w:rFonts w:ascii="Times New Roman" w:hAnsi="Times New Roman" w:cs="Times New Roman"/>
          <w:sz w:val="24"/>
          <w:szCs w:val="24"/>
        </w:rPr>
        <w:t xml:space="preserve"> thoroughly especially on ethical perspectives. On the same note, members of the business should be educated and trained more</w:t>
      </w:r>
      <w:r w:rsidRPr="00823FEB">
        <w:rPr>
          <w:rFonts w:ascii="Times New Roman" w:hAnsi="Times New Roman" w:cs="Times New Roman"/>
          <w:sz w:val="24"/>
          <w:szCs w:val="24"/>
        </w:rPr>
        <w:t xml:space="preserve"> on the corporate policies, prohibited conduct, properly training and any other relevant laws as a way to make them compatible in business. The main aim of enforcement officials is to ensure that the management is aware of the compliance message</w:t>
      </w:r>
      <w:r w:rsidR="007F7CCD">
        <w:rPr>
          <w:rFonts w:ascii="Times New Roman" w:hAnsi="Times New Roman" w:cs="Times New Roman"/>
          <w:sz w:val="24"/>
          <w:szCs w:val="24"/>
        </w:rPr>
        <w:t xml:space="preserve"> and areas that are likely to violate ethics. Therefore, such knowledge will enable the business to monitor</w:t>
      </w:r>
      <w:r w:rsidRPr="00823FEB">
        <w:rPr>
          <w:rFonts w:ascii="Times New Roman" w:hAnsi="Times New Roman" w:cs="Times New Roman"/>
          <w:sz w:val="24"/>
          <w:szCs w:val="24"/>
        </w:rPr>
        <w:t xml:space="preserve"> all the departments effectively. The training program for businesses should be governed by effectiveness, transparency and ethical perspectives to ensure that maximum gain is achieved.</w:t>
      </w:r>
    </w:p>
    <w:p w:rsidR="002E5066" w:rsidRDefault="002E5066" w:rsidP="00C10B99">
      <w:pPr>
        <w:spacing w:line="480" w:lineRule="auto"/>
        <w:rPr>
          <w:rFonts w:ascii="Times New Roman" w:hAnsi="Times New Roman" w:cs="Times New Roman"/>
          <w:sz w:val="24"/>
          <w:szCs w:val="24"/>
        </w:rPr>
      </w:pPr>
    </w:p>
    <w:p w:rsidR="002E5066" w:rsidRDefault="002E5066" w:rsidP="00C10B99">
      <w:pPr>
        <w:spacing w:line="480" w:lineRule="auto"/>
        <w:rPr>
          <w:rFonts w:ascii="Times New Roman" w:hAnsi="Times New Roman" w:cs="Times New Roman"/>
          <w:sz w:val="24"/>
          <w:szCs w:val="24"/>
        </w:rPr>
      </w:pPr>
    </w:p>
    <w:p w:rsidR="002E5066" w:rsidRDefault="002E5066" w:rsidP="00C10B99">
      <w:pPr>
        <w:spacing w:line="480" w:lineRule="auto"/>
        <w:rPr>
          <w:rFonts w:ascii="Times New Roman" w:hAnsi="Times New Roman" w:cs="Times New Roman"/>
          <w:sz w:val="24"/>
          <w:szCs w:val="24"/>
        </w:rPr>
      </w:pPr>
    </w:p>
    <w:p w:rsidR="002E5066" w:rsidRDefault="002E5066" w:rsidP="00C10B99">
      <w:pPr>
        <w:spacing w:line="480" w:lineRule="auto"/>
        <w:rPr>
          <w:rFonts w:ascii="Times New Roman" w:hAnsi="Times New Roman" w:cs="Times New Roman"/>
          <w:sz w:val="24"/>
          <w:szCs w:val="24"/>
        </w:rPr>
      </w:pPr>
    </w:p>
    <w:p w:rsidR="002E5066" w:rsidRDefault="002E5066" w:rsidP="00C10B99">
      <w:pPr>
        <w:spacing w:line="480" w:lineRule="auto"/>
        <w:rPr>
          <w:rFonts w:ascii="Times New Roman" w:hAnsi="Times New Roman" w:cs="Times New Roman"/>
          <w:sz w:val="24"/>
          <w:szCs w:val="24"/>
        </w:rPr>
      </w:pPr>
    </w:p>
    <w:p w:rsidR="002E5066" w:rsidRDefault="002E5066" w:rsidP="00C10B99">
      <w:pPr>
        <w:spacing w:line="480" w:lineRule="auto"/>
        <w:rPr>
          <w:rFonts w:ascii="Times New Roman" w:hAnsi="Times New Roman" w:cs="Times New Roman"/>
          <w:sz w:val="24"/>
          <w:szCs w:val="24"/>
        </w:rPr>
      </w:pPr>
    </w:p>
    <w:p w:rsidR="002E5066" w:rsidRDefault="002E5066" w:rsidP="00C10B99">
      <w:pPr>
        <w:spacing w:line="480" w:lineRule="auto"/>
        <w:rPr>
          <w:rFonts w:ascii="Times New Roman" w:hAnsi="Times New Roman" w:cs="Times New Roman"/>
          <w:sz w:val="24"/>
          <w:szCs w:val="24"/>
        </w:rPr>
      </w:pPr>
    </w:p>
    <w:p w:rsidR="00E7263A" w:rsidRDefault="00E7263A" w:rsidP="002E5066">
      <w:pPr>
        <w:spacing w:line="480" w:lineRule="auto"/>
        <w:jc w:val="center"/>
        <w:rPr>
          <w:rFonts w:ascii="Times New Roman" w:hAnsi="Times New Roman" w:cs="Times New Roman"/>
          <w:sz w:val="24"/>
          <w:szCs w:val="24"/>
        </w:rPr>
      </w:pPr>
    </w:p>
    <w:p w:rsidR="00E7263A" w:rsidRDefault="00E7263A" w:rsidP="002E5066">
      <w:pPr>
        <w:spacing w:line="480" w:lineRule="auto"/>
        <w:jc w:val="center"/>
        <w:rPr>
          <w:rFonts w:ascii="Times New Roman" w:hAnsi="Times New Roman" w:cs="Times New Roman"/>
          <w:sz w:val="24"/>
          <w:szCs w:val="24"/>
        </w:rPr>
      </w:pPr>
    </w:p>
    <w:p w:rsidR="00E7263A" w:rsidRDefault="00E7263A" w:rsidP="002E5066">
      <w:pPr>
        <w:spacing w:line="480" w:lineRule="auto"/>
        <w:jc w:val="center"/>
        <w:rPr>
          <w:rFonts w:ascii="Times New Roman" w:hAnsi="Times New Roman" w:cs="Times New Roman"/>
          <w:sz w:val="24"/>
          <w:szCs w:val="24"/>
        </w:rPr>
      </w:pPr>
    </w:p>
    <w:p w:rsidR="008251A4" w:rsidRPr="00C10B99" w:rsidRDefault="008251A4" w:rsidP="002E5066">
      <w:pPr>
        <w:spacing w:line="480" w:lineRule="auto"/>
        <w:jc w:val="center"/>
        <w:rPr>
          <w:rFonts w:ascii="Times New Roman" w:hAnsi="Times New Roman" w:cs="Times New Roman"/>
          <w:sz w:val="24"/>
          <w:szCs w:val="24"/>
        </w:rPr>
      </w:pPr>
      <w:r w:rsidRPr="00C10B99">
        <w:rPr>
          <w:rFonts w:ascii="Times New Roman" w:hAnsi="Times New Roman" w:cs="Times New Roman"/>
          <w:sz w:val="24"/>
          <w:szCs w:val="24"/>
        </w:rPr>
        <w:t>References</w:t>
      </w:r>
    </w:p>
    <w:p w:rsidR="002E5066" w:rsidRPr="00C10B99" w:rsidRDefault="002E5066" w:rsidP="002E5066">
      <w:pPr>
        <w:spacing w:line="480" w:lineRule="auto"/>
        <w:ind w:left="720" w:hanging="720"/>
        <w:rPr>
          <w:rFonts w:ascii="Times New Roman" w:hAnsi="Times New Roman" w:cs="Times New Roman"/>
          <w:color w:val="222222"/>
          <w:sz w:val="24"/>
          <w:szCs w:val="24"/>
          <w:shd w:val="clear" w:color="auto" w:fill="FFFFFF"/>
        </w:rPr>
      </w:pPr>
      <w:r w:rsidRPr="00C10B99">
        <w:rPr>
          <w:rFonts w:ascii="Times New Roman" w:hAnsi="Times New Roman" w:cs="Times New Roman"/>
          <w:color w:val="222222"/>
          <w:sz w:val="24"/>
          <w:szCs w:val="24"/>
          <w:shd w:val="clear" w:color="auto" w:fill="FFFFFF"/>
        </w:rPr>
        <w:t>Coogan, M. (2018). </w:t>
      </w:r>
      <w:r w:rsidRPr="00C10B99">
        <w:rPr>
          <w:rFonts w:ascii="Times New Roman" w:hAnsi="Times New Roman" w:cs="Times New Roman"/>
          <w:i/>
          <w:iCs/>
          <w:color w:val="222222"/>
          <w:sz w:val="24"/>
          <w:szCs w:val="24"/>
          <w:shd w:val="clear" w:color="auto" w:fill="FFFFFF"/>
        </w:rPr>
        <w:t>The New Oxford Annotated Bible: New Revised Standard Version</w:t>
      </w:r>
      <w:r w:rsidRPr="00C10B99">
        <w:rPr>
          <w:rFonts w:ascii="Times New Roman" w:hAnsi="Times New Roman" w:cs="Times New Roman"/>
          <w:color w:val="222222"/>
          <w:sz w:val="24"/>
          <w:szCs w:val="24"/>
          <w:shd w:val="clear" w:color="auto" w:fill="FFFFFF"/>
        </w:rPr>
        <w:t>. Oxford University Press.</w:t>
      </w:r>
    </w:p>
    <w:p w:rsidR="002E5066" w:rsidRPr="00C10B99" w:rsidRDefault="002E5066" w:rsidP="00C10B99">
      <w:pPr>
        <w:spacing w:line="480" w:lineRule="auto"/>
        <w:ind w:left="720" w:hanging="720"/>
        <w:rPr>
          <w:rFonts w:ascii="Times New Roman" w:hAnsi="Times New Roman" w:cs="Times New Roman"/>
          <w:sz w:val="24"/>
          <w:szCs w:val="24"/>
          <w:shd w:val="clear" w:color="auto" w:fill="FFFFFF"/>
        </w:rPr>
      </w:pPr>
      <w:r w:rsidRPr="00C10B99">
        <w:rPr>
          <w:rFonts w:ascii="Times New Roman" w:hAnsi="Times New Roman" w:cs="Times New Roman"/>
          <w:sz w:val="24"/>
          <w:szCs w:val="24"/>
          <w:shd w:val="clear" w:color="auto" w:fill="FFFFFF"/>
        </w:rPr>
        <w:t>Harrington, S. E. (2010). US Health</w:t>
      </w:r>
      <w:r w:rsidRPr="00C10B99">
        <w:rPr>
          <w:rFonts w:ascii="Cambria Math" w:hAnsi="Cambria Math" w:cs="Cambria Math"/>
          <w:sz w:val="24"/>
          <w:szCs w:val="24"/>
          <w:shd w:val="clear" w:color="auto" w:fill="FFFFFF"/>
        </w:rPr>
        <w:t>‐</w:t>
      </w:r>
      <w:r w:rsidRPr="00C10B99">
        <w:rPr>
          <w:rFonts w:ascii="Times New Roman" w:hAnsi="Times New Roman" w:cs="Times New Roman"/>
          <w:sz w:val="24"/>
          <w:szCs w:val="24"/>
          <w:shd w:val="clear" w:color="auto" w:fill="FFFFFF"/>
        </w:rPr>
        <w:t>care Reform: The Patient Protection and Affordable Care Act. </w:t>
      </w:r>
      <w:r w:rsidRPr="00C10B99">
        <w:rPr>
          <w:rFonts w:ascii="Times New Roman" w:hAnsi="Times New Roman" w:cs="Times New Roman"/>
          <w:i/>
          <w:iCs/>
          <w:sz w:val="24"/>
          <w:szCs w:val="24"/>
          <w:shd w:val="clear" w:color="auto" w:fill="FFFFFF"/>
        </w:rPr>
        <w:t>Journal of Risk and Insurance</w:t>
      </w:r>
      <w:r w:rsidRPr="00C10B99">
        <w:rPr>
          <w:rFonts w:ascii="Times New Roman" w:hAnsi="Times New Roman" w:cs="Times New Roman"/>
          <w:sz w:val="24"/>
          <w:szCs w:val="24"/>
          <w:shd w:val="clear" w:color="auto" w:fill="FFFFFF"/>
        </w:rPr>
        <w:t>, </w:t>
      </w:r>
      <w:r w:rsidRPr="00C10B99">
        <w:rPr>
          <w:rFonts w:ascii="Times New Roman" w:hAnsi="Times New Roman" w:cs="Times New Roman"/>
          <w:i/>
          <w:iCs/>
          <w:sz w:val="24"/>
          <w:szCs w:val="24"/>
          <w:shd w:val="clear" w:color="auto" w:fill="FFFFFF"/>
        </w:rPr>
        <w:t>77</w:t>
      </w:r>
      <w:r w:rsidRPr="00C10B99">
        <w:rPr>
          <w:rFonts w:ascii="Times New Roman" w:hAnsi="Times New Roman" w:cs="Times New Roman"/>
          <w:sz w:val="24"/>
          <w:szCs w:val="24"/>
          <w:shd w:val="clear" w:color="auto" w:fill="FFFFFF"/>
        </w:rPr>
        <w:t>(3), 703-708.</w:t>
      </w:r>
    </w:p>
    <w:p w:rsidR="002E5066" w:rsidRPr="00C10B99" w:rsidRDefault="002E5066" w:rsidP="00C10B99">
      <w:pPr>
        <w:spacing w:line="480" w:lineRule="auto"/>
        <w:rPr>
          <w:rFonts w:ascii="Times New Roman" w:hAnsi="Times New Roman" w:cs="Times New Roman"/>
          <w:sz w:val="24"/>
          <w:szCs w:val="24"/>
        </w:rPr>
      </w:pPr>
      <w:r w:rsidRPr="00C10B99">
        <w:rPr>
          <w:rFonts w:ascii="Times New Roman" w:hAnsi="Times New Roman" w:cs="Times New Roman"/>
          <w:color w:val="222222"/>
          <w:sz w:val="24"/>
          <w:szCs w:val="24"/>
          <w:shd w:val="clear" w:color="auto" w:fill="FFFFFF"/>
        </w:rPr>
        <w:t>Johnson, C. E. (2018). </w:t>
      </w:r>
      <w:r w:rsidRPr="00C10B99">
        <w:rPr>
          <w:rFonts w:ascii="Times New Roman" w:hAnsi="Times New Roman" w:cs="Times New Roman"/>
          <w:i/>
          <w:iCs/>
          <w:color w:val="222222"/>
          <w:sz w:val="24"/>
          <w:szCs w:val="24"/>
          <w:shd w:val="clear" w:color="auto" w:fill="FFFFFF"/>
        </w:rPr>
        <w:t>Organizational ethics: A practical approach</w:t>
      </w:r>
      <w:r w:rsidRPr="00C10B99">
        <w:rPr>
          <w:rFonts w:ascii="Times New Roman" w:hAnsi="Times New Roman" w:cs="Times New Roman"/>
          <w:color w:val="222222"/>
          <w:sz w:val="24"/>
          <w:szCs w:val="24"/>
          <w:shd w:val="clear" w:color="auto" w:fill="FFFFFF"/>
        </w:rPr>
        <w:t>. Sage Publications.</w:t>
      </w:r>
    </w:p>
    <w:p w:rsidR="002E5066" w:rsidRPr="00C10B99" w:rsidRDefault="002E5066" w:rsidP="002E5066">
      <w:pPr>
        <w:spacing w:line="480" w:lineRule="auto"/>
        <w:ind w:left="720" w:hanging="720"/>
        <w:rPr>
          <w:rFonts w:ascii="Times New Roman" w:hAnsi="Times New Roman" w:cs="Times New Roman"/>
          <w:sz w:val="24"/>
          <w:szCs w:val="24"/>
        </w:rPr>
      </w:pPr>
      <w:r w:rsidRPr="00C10B99">
        <w:rPr>
          <w:rFonts w:ascii="Times New Roman" w:hAnsi="Times New Roman" w:cs="Times New Roman"/>
          <w:sz w:val="24"/>
          <w:szCs w:val="24"/>
        </w:rPr>
        <w:t xml:space="preserve">Leagle. (2014). United States v. McClatchey. Retrieved from </w:t>
      </w:r>
      <w:hyperlink r:id="rId6" w:history="1">
        <w:r w:rsidRPr="00C10B99">
          <w:rPr>
            <w:rStyle w:val="Hyperlink"/>
            <w:rFonts w:ascii="Times New Roman" w:hAnsi="Times New Roman" w:cs="Times New Roman"/>
            <w:sz w:val="24"/>
            <w:szCs w:val="24"/>
          </w:rPr>
          <w:t>http://www.leagle.com/decision/20031438316F3d1122_11316.xml/U.S.%20v.%20McCLATCHEY</w:t>
        </w:r>
      </w:hyperlink>
      <w:r w:rsidRPr="00C10B99">
        <w:rPr>
          <w:rFonts w:ascii="Times New Roman" w:hAnsi="Times New Roman" w:cs="Times New Roman"/>
          <w:sz w:val="24"/>
          <w:szCs w:val="24"/>
        </w:rPr>
        <w:t>.</w:t>
      </w:r>
    </w:p>
    <w:p w:rsidR="002E5066" w:rsidRPr="00C10B99" w:rsidRDefault="002E5066" w:rsidP="00C10B99">
      <w:pPr>
        <w:spacing w:line="480" w:lineRule="auto"/>
        <w:ind w:left="720" w:hanging="720"/>
        <w:rPr>
          <w:rFonts w:ascii="Times New Roman" w:hAnsi="Times New Roman" w:cs="Times New Roman"/>
          <w:sz w:val="24"/>
          <w:szCs w:val="24"/>
          <w:shd w:val="clear" w:color="auto" w:fill="FFFFFF"/>
        </w:rPr>
      </w:pPr>
      <w:r w:rsidRPr="00C10B99">
        <w:rPr>
          <w:rFonts w:ascii="Times New Roman" w:hAnsi="Times New Roman" w:cs="Times New Roman"/>
          <w:sz w:val="24"/>
          <w:szCs w:val="24"/>
          <w:shd w:val="clear" w:color="auto" w:fill="FFFFFF"/>
        </w:rPr>
        <w:t>Showalter, J. S. (2012). </w:t>
      </w:r>
      <w:r w:rsidRPr="00C10B99">
        <w:rPr>
          <w:rFonts w:ascii="Times New Roman" w:hAnsi="Times New Roman" w:cs="Times New Roman"/>
          <w:i/>
          <w:iCs/>
          <w:sz w:val="24"/>
          <w:szCs w:val="24"/>
          <w:shd w:val="clear" w:color="auto" w:fill="FFFFFF"/>
        </w:rPr>
        <w:t>The law of healthcare administration</w:t>
      </w:r>
      <w:r w:rsidRPr="00C10B99">
        <w:rPr>
          <w:rFonts w:ascii="Times New Roman" w:hAnsi="Times New Roman" w:cs="Times New Roman"/>
          <w:sz w:val="24"/>
          <w:szCs w:val="24"/>
          <w:shd w:val="clear" w:color="auto" w:fill="FFFFFF"/>
        </w:rPr>
        <w:t>. (7</w:t>
      </w:r>
      <w:r w:rsidRPr="00C10B99">
        <w:rPr>
          <w:rFonts w:ascii="Times New Roman" w:hAnsi="Times New Roman" w:cs="Times New Roman"/>
          <w:sz w:val="24"/>
          <w:szCs w:val="24"/>
          <w:shd w:val="clear" w:color="auto" w:fill="FFFFFF"/>
          <w:vertAlign w:val="superscript"/>
        </w:rPr>
        <w:t>th</w:t>
      </w:r>
      <w:r w:rsidRPr="00C10B99">
        <w:rPr>
          <w:rFonts w:ascii="Times New Roman" w:hAnsi="Times New Roman" w:cs="Times New Roman"/>
          <w:sz w:val="24"/>
          <w:szCs w:val="24"/>
          <w:shd w:val="clear" w:color="auto" w:fill="FFFFFF"/>
        </w:rPr>
        <w:t>ed.). Chicago, IL: Health Administration Press.ISBN: 978</w:t>
      </w:r>
      <w:bookmarkStart w:id="0" w:name="_GoBack"/>
      <w:bookmarkEnd w:id="0"/>
      <w:r w:rsidRPr="00C10B99">
        <w:rPr>
          <w:rFonts w:ascii="Times New Roman" w:hAnsi="Times New Roman" w:cs="Times New Roman"/>
          <w:sz w:val="24"/>
          <w:szCs w:val="24"/>
          <w:shd w:val="clear" w:color="auto" w:fill="FFFFFF"/>
        </w:rPr>
        <w:t>-1-56793-644-5.</w:t>
      </w:r>
    </w:p>
    <w:p w:rsidR="002E5066" w:rsidRPr="00C10B99" w:rsidRDefault="002E5066" w:rsidP="00C10B99">
      <w:pPr>
        <w:spacing w:line="480" w:lineRule="auto"/>
        <w:rPr>
          <w:rFonts w:ascii="Times New Roman" w:hAnsi="Times New Roman" w:cs="Times New Roman"/>
          <w:sz w:val="24"/>
          <w:szCs w:val="24"/>
        </w:rPr>
      </w:pPr>
      <w:r w:rsidRPr="00C10B99">
        <w:rPr>
          <w:rFonts w:ascii="Times New Roman" w:hAnsi="Times New Roman" w:cs="Times New Roman"/>
          <w:sz w:val="24"/>
          <w:szCs w:val="24"/>
          <w:shd w:val="clear" w:color="auto" w:fill="FFFFFF"/>
        </w:rPr>
        <w:t>Smith, D. G. (2017). </w:t>
      </w:r>
      <w:r w:rsidRPr="00C10B99">
        <w:rPr>
          <w:rFonts w:ascii="Times New Roman" w:hAnsi="Times New Roman" w:cs="Times New Roman"/>
          <w:i/>
          <w:iCs/>
          <w:sz w:val="24"/>
          <w:szCs w:val="24"/>
          <w:shd w:val="clear" w:color="auto" w:fill="FFFFFF"/>
        </w:rPr>
        <w:t>Entitlement politics: medicare and medicaid, 1995-2001</w:t>
      </w:r>
      <w:r w:rsidRPr="00C10B99">
        <w:rPr>
          <w:rFonts w:ascii="Times New Roman" w:hAnsi="Times New Roman" w:cs="Times New Roman"/>
          <w:sz w:val="24"/>
          <w:szCs w:val="24"/>
          <w:shd w:val="clear" w:color="auto" w:fill="FFFFFF"/>
        </w:rPr>
        <w:t>. Routledge.</w:t>
      </w:r>
    </w:p>
    <w:p w:rsidR="002E5066" w:rsidRPr="00C10B99" w:rsidRDefault="002E5066" w:rsidP="00C10B99">
      <w:pPr>
        <w:spacing w:line="480" w:lineRule="auto"/>
        <w:rPr>
          <w:rFonts w:ascii="Times New Roman" w:hAnsi="Times New Roman" w:cs="Times New Roman"/>
          <w:sz w:val="24"/>
          <w:szCs w:val="24"/>
          <w:shd w:val="clear" w:color="auto" w:fill="FFFFFF"/>
        </w:rPr>
      </w:pPr>
      <w:r w:rsidRPr="00C10B99">
        <w:rPr>
          <w:rFonts w:ascii="Times New Roman" w:hAnsi="Times New Roman" w:cs="Times New Roman"/>
          <w:sz w:val="24"/>
          <w:szCs w:val="24"/>
          <w:shd w:val="clear" w:color="auto" w:fill="FFFFFF"/>
        </w:rPr>
        <w:t>Tillich, P. (2011). </w:t>
      </w:r>
      <w:r w:rsidRPr="00C10B99">
        <w:rPr>
          <w:rFonts w:ascii="Times New Roman" w:hAnsi="Times New Roman" w:cs="Times New Roman"/>
          <w:i/>
          <w:iCs/>
          <w:sz w:val="24"/>
          <w:szCs w:val="24"/>
          <w:shd w:val="clear" w:color="auto" w:fill="FFFFFF"/>
        </w:rPr>
        <w:t>Systematic theology</w:t>
      </w:r>
      <w:r w:rsidRPr="00C10B99">
        <w:rPr>
          <w:rFonts w:ascii="Times New Roman" w:hAnsi="Times New Roman" w:cs="Times New Roman"/>
          <w:sz w:val="24"/>
          <w:szCs w:val="24"/>
          <w:shd w:val="clear" w:color="auto" w:fill="FFFFFF"/>
        </w:rPr>
        <w:t> (Vol. 3). University of Chicago Press.</w:t>
      </w:r>
    </w:p>
    <w:sectPr w:rsidR="002E5066" w:rsidRPr="00C10B99" w:rsidSect="003149CC">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1DB8" w:rsidRDefault="00F11DB8" w:rsidP="003149CC">
      <w:pPr>
        <w:spacing w:after="0" w:line="240" w:lineRule="auto"/>
      </w:pPr>
      <w:r>
        <w:separator/>
      </w:r>
    </w:p>
  </w:endnote>
  <w:endnote w:type="continuationSeparator" w:id="1">
    <w:p w:rsidR="00F11DB8" w:rsidRDefault="00F11DB8" w:rsidP="003149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1DB8" w:rsidRDefault="00F11DB8" w:rsidP="003149CC">
      <w:pPr>
        <w:spacing w:after="0" w:line="240" w:lineRule="auto"/>
      </w:pPr>
      <w:r>
        <w:separator/>
      </w:r>
    </w:p>
  </w:footnote>
  <w:footnote w:type="continuationSeparator" w:id="1">
    <w:p w:rsidR="00F11DB8" w:rsidRDefault="00F11DB8" w:rsidP="003149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69633146"/>
      <w:docPartObj>
        <w:docPartGallery w:val="Page Numbers (Top of Page)"/>
        <w:docPartUnique/>
      </w:docPartObj>
    </w:sdtPr>
    <w:sdtEndPr>
      <w:rPr>
        <w:noProof/>
      </w:rPr>
    </w:sdtEndPr>
    <w:sdtContent>
      <w:p w:rsidR="003149CC" w:rsidRPr="003149CC" w:rsidRDefault="003149CC" w:rsidP="003149CC">
        <w:pPr>
          <w:pStyle w:val="Header"/>
          <w:spacing w:line="480" w:lineRule="auto"/>
          <w:rPr>
            <w:rFonts w:ascii="Times New Roman" w:hAnsi="Times New Roman" w:cs="Times New Roman"/>
            <w:sz w:val="24"/>
            <w:szCs w:val="24"/>
          </w:rPr>
        </w:pPr>
        <w:r w:rsidRPr="003149CC">
          <w:rPr>
            <w:rFonts w:ascii="Times New Roman" w:hAnsi="Times New Roman" w:cs="Times New Roman"/>
            <w:sz w:val="24"/>
            <w:szCs w:val="24"/>
          </w:rPr>
          <w:t>CORPORATE COMPLIANCE AND MAINTAINING ETHICAL BUSINESS RELATIONSHIPS</w:t>
        </w:r>
        <w:r w:rsidR="00E7263A">
          <w:rPr>
            <w:rFonts w:ascii="Times New Roman" w:hAnsi="Times New Roman" w:cs="Times New Roman"/>
            <w:sz w:val="24"/>
            <w:szCs w:val="24"/>
          </w:rPr>
          <w:t xml:space="preserve">                                                                                                                    </w:t>
        </w:r>
        <w:r w:rsidR="00122005" w:rsidRPr="003149CC">
          <w:rPr>
            <w:rFonts w:ascii="Times New Roman" w:hAnsi="Times New Roman" w:cs="Times New Roman"/>
            <w:sz w:val="24"/>
            <w:szCs w:val="24"/>
          </w:rPr>
          <w:fldChar w:fldCharType="begin"/>
        </w:r>
        <w:r w:rsidRPr="003149CC">
          <w:rPr>
            <w:rFonts w:ascii="Times New Roman" w:hAnsi="Times New Roman" w:cs="Times New Roman"/>
            <w:sz w:val="24"/>
            <w:szCs w:val="24"/>
          </w:rPr>
          <w:instrText xml:space="preserve"> PAGE   \* MERGEFORMAT </w:instrText>
        </w:r>
        <w:r w:rsidR="00122005" w:rsidRPr="003149CC">
          <w:rPr>
            <w:rFonts w:ascii="Times New Roman" w:hAnsi="Times New Roman" w:cs="Times New Roman"/>
            <w:sz w:val="24"/>
            <w:szCs w:val="24"/>
          </w:rPr>
          <w:fldChar w:fldCharType="separate"/>
        </w:r>
        <w:r w:rsidR="00AF6C63">
          <w:rPr>
            <w:rFonts w:ascii="Times New Roman" w:hAnsi="Times New Roman" w:cs="Times New Roman"/>
            <w:noProof/>
            <w:sz w:val="24"/>
            <w:szCs w:val="24"/>
          </w:rPr>
          <w:t>5</w:t>
        </w:r>
        <w:r w:rsidR="00122005" w:rsidRPr="003149C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9CC" w:rsidRPr="003149CC" w:rsidRDefault="003149CC" w:rsidP="003149CC">
    <w:pPr>
      <w:pStyle w:val="Header"/>
      <w:spacing w:line="480" w:lineRule="auto"/>
      <w:rPr>
        <w:rFonts w:ascii="Times New Roman" w:hAnsi="Times New Roman" w:cs="Times New Roman"/>
        <w:sz w:val="24"/>
        <w:szCs w:val="24"/>
      </w:rPr>
    </w:pPr>
    <w:r w:rsidRPr="003149CC">
      <w:rPr>
        <w:rFonts w:ascii="Times New Roman" w:hAnsi="Times New Roman" w:cs="Times New Roman"/>
        <w:sz w:val="24"/>
        <w:szCs w:val="24"/>
      </w:rPr>
      <w:t>Running head: CORPORATE COMPLIANCE AND MAINTAINING ETHICAL BUSINESS RELATIONSHIPS</w:t>
    </w:r>
  </w:p>
  <w:p w:rsidR="003149CC" w:rsidRDefault="003149C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A16FC"/>
    <w:rsid w:val="0000676B"/>
    <w:rsid w:val="0004444F"/>
    <w:rsid w:val="000D2155"/>
    <w:rsid w:val="000D3B80"/>
    <w:rsid w:val="00104DDA"/>
    <w:rsid w:val="00122005"/>
    <w:rsid w:val="001360F7"/>
    <w:rsid w:val="001768DD"/>
    <w:rsid w:val="00184118"/>
    <w:rsid w:val="001A4365"/>
    <w:rsid w:val="001C464F"/>
    <w:rsid w:val="001E55BD"/>
    <w:rsid w:val="002600BC"/>
    <w:rsid w:val="002C0E46"/>
    <w:rsid w:val="002E5066"/>
    <w:rsid w:val="003149CC"/>
    <w:rsid w:val="00330596"/>
    <w:rsid w:val="00366D53"/>
    <w:rsid w:val="003C4276"/>
    <w:rsid w:val="00403E07"/>
    <w:rsid w:val="00413BA8"/>
    <w:rsid w:val="00414186"/>
    <w:rsid w:val="00420AA2"/>
    <w:rsid w:val="00432D86"/>
    <w:rsid w:val="004377CC"/>
    <w:rsid w:val="00453F4E"/>
    <w:rsid w:val="00484E23"/>
    <w:rsid w:val="004B5B41"/>
    <w:rsid w:val="004B7DCC"/>
    <w:rsid w:val="005161F9"/>
    <w:rsid w:val="0054553A"/>
    <w:rsid w:val="0058058F"/>
    <w:rsid w:val="00586D3F"/>
    <w:rsid w:val="005A16FC"/>
    <w:rsid w:val="00610D64"/>
    <w:rsid w:val="00627CAC"/>
    <w:rsid w:val="00636133"/>
    <w:rsid w:val="006444FF"/>
    <w:rsid w:val="00674252"/>
    <w:rsid w:val="006906A9"/>
    <w:rsid w:val="006A5C09"/>
    <w:rsid w:val="006B44D8"/>
    <w:rsid w:val="00710A44"/>
    <w:rsid w:val="00752588"/>
    <w:rsid w:val="007553DA"/>
    <w:rsid w:val="00763EC8"/>
    <w:rsid w:val="007A6844"/>
    <w:rsid w:val="007F7CCD"/>
    <w:rsid w:val="008072FE"/>
    <w:rsid w:val="00823FEB"/>
    <w:rsid w:val="008251A4"/>
    <w:rsid w:val="00825671"/>
    <w:rsid w:val="008363DD"/>
    <w:rsid w:val="008C4985"/>
    <w:rsid w:val="008E61E4"/>
    <w:rsid w:val="00945030"/>
    <w:rsid w:val="0096186E"/>
    <w:rsid w:val="0098271B"/>
    <w:rsid w:val="00990656"/>
    <w:rsid w:val="009C1AC3"/>
    <w:rsid w:val="009C7EF7"/>
    <w:rsid w:val="009F4E25"/>
    <w:rsid w:val="00A37AC4"/>
    <w:rsid w:val="00A71E95"/>
    <w:rsid w:val="00AD10BF"/>
    <w:rsid w:val="00AF6C63"/>
    <w:rsid w:val="00AF7C59"/>
    <w:rsid w:val="00B445CE"/>
    <w:rsid w:val="00B77BC1"/>
    <w:rsid w:val="00B81AC8"/>
    <w:rsid w:val="00BD4F94"/>
    <w:rsid w:val="00BE0C51"/>
    <w:rsid w:val="00C10B99"/>
    <w:rsid w:val="00C147EB"/>
    <w:rsid w:val="00C7462E"/>
    <w:rsid w:val="00CE113F"/>
    <w:rsid w:val="00CE79FD"/>
    <w:rsid w:val="00D040E3"/>
    <w:rsid w:val="00D417F3"/>
    <w:rsid w:val="00D46E5B"/>
    <w:rsid w:val="00D53813"/>
    <w:rsid w:val="00D540AC"/>
    <w:rsid w:val="00D65CE7"/>
    <w:rsid w:val="00DD60AB"/>
    <w:rsid w:val="00DE6BCB"/>
    <w:rsid w:val="00DF6FB0"/>
    <w:rsid w:val="00E07360"/>
    <w:rsid w:val="00E15211"/>
    <w:rsid w:val="00E53716"/>
    <w:rsid w:val="00E7263A"/>
    <w:rsid w:val="00E92D85"/>
    <w:rsid w:val="00EB53E4"/>
    <w:rsid w:val="00F11DB8"/>
    <w:rsid w:val="00F53BF8"/>
    <w:rsid w:val="00F750A2"/>
    <w:rsid w:val="00F75714"/>
    <w:rsid w:val="00F82861"/>
    <w:rsid w:val="00FF2615"/>
    <w:rsid w:val="00FF31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C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06A9"/>
    <w:rPr>
      <w:color w:val="0563C1" w:themeColor="hyperlink"/>
      <w:u w:val="single"/>
    </w:rPr>
  </w:style>
  <w:style w:type="paragraph" w:styleId="Header">
    <w:name w:val="header"/>
    <w:basedOn w:val="Normal"/>
    <w:link w:val="HeaderChar"/>
    <w:uiPriority w:val="99"/>
    <w:unhideWhenUsed/>
    <w:rsid w:val="003149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49CC"/>
  </w:style>
  <w:style w:type="paragraph" w:styleId="Footer">
    <w:name w:val="footer"/>
    <w:basedOn w:val="Normal"/>
    <w:link w:val="FooterChar"/>
    <w:uiPriority w:val="99"/>
    <w:unhideWhenUsed/>
    <w:rsid w:val="003149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49C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agle.com/decision/20031438316F3d1122_11316.xml/U.S.%20v.%20McCLATCHE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2426</Words>
  <Characters>13832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2019-08-14T11:01:00Z</dcterms:created>
  <dcterms:modified xsi:type="dcterms:W3CDTF">2019-08-14T11:01:00Z</dcterms:modified>
</cp:coreProperties>
</file>